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EA403" w14:textId="77777777" w:rsidR="005956C2" w:rsidRDefault="005956C2">
      <w:pPr>
        <w:spacing w:before="120" w:after="120" w:line="276" w:lineRule="auto"/>
        <w:jc w:val="center"/>
        <w:rPr>
          <w:b/>
          <w:sz w:val="24"/>
          <w:szCs w:val="24"/>
        </w:rPr>
      </w:pPr>
    </w:p>
    <w:p w14:paraId="0C36DA57" w14:textId="77777777" w:rsidR="005956C2" w:rsidRPr="00C85C2F" w:rsidRDefault="008711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 xml:space="preserve">Instrukcja przyjmowania ruchomych zabytków archeologicznych do zbiorów muzeum ___________________________ </w:t>
      </w:r>
      <w:r w:rsidRPr="00C85C2F">
        <w:rPr>
          <w:b/>
          <w:i/>
          <w:sz w:val="18"/>
          <w:szCs w:val="18"/>
        </w:rPr>
        <w:t>(nazwa muzeum)</w:t>
      </w:r>
    </w:p>
    <w:p w14:paraId="2F62E784" w14:textId="21BDD96E" w:rsidR="005956C2" w:rsidRPr="00C85C2F" w:rsidRDefault="005956C2">
      <w:pPr>
        <w:spacing w:before="120" w:after="120" w:line="276" w:lineRule="auto"/>
        <w:rPr>
          <w:b/>
          <w:sz w:val="24"/>
          <w:szCs w:val="24"/>
        </w:rPr>
      </w:pPr>
    </w:p>
    <w:p w14:paraId="0B4B2569" w14:textId="77777777" w:rsidR="00AC64E2" w:rsidRPr="00C85C2F" w:rsidRDefault="00AC64E2">
      <w:pPr>
        <w:spacing w:before="120" w:after="120" w:line="276" w:lineRule="auto"/>
        <w:rPr>
          <w:b/>
          <w:sz w:val="24"/>
          <w:szCs w:val="24"/>
        </w:rPr>
      </w:pPr>
    </w:p>
    <w:p w14:paraId="0058775E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 xml:space="preserve">§ 1 </w:t>
      </w:r>
    </w:p>
    <w:p w14:paraId="5CE7FE67" w14:textId="4F58802A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Podstawy prawne</w:t>
      </w:r>
    </w:p>
    <w:p w14:paraId="4B17AA88" w14:textId="44B990B9" w:rsidR="005956C2" w:rsidRPr="00C85C2F" w:rsidRDefault="00684487" w:rsidP="00AC64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 w:rsidRPr="00C85C2F">
        <w:rPr>
          <w:sz w:val="24"/>
          <w:szCs w:val="24"/>
        </w:rPr>
        <w:t xml:space="preserve">Podstawy prawne </w:t>
      </w:r>
      <w:r w:rsidR="00871118" w:rsidRPr="00C85C2F">
        <w:rPr>
          <w:sz w:val="24"/>
          <w:szCs w:val="24"/>
        </w:rPr>
        <w:t>Instrukcji:</w:t>
      </w:r>
    </w:p>
    <w:p w14:paraId="65F607F5" w14:textId="49C8FFD0" w:rsidR="005956C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Ustawa z dnia 21 listopada 1996 roku o muzeach  (Dz.U. 1997 nr 5 poz. 24 z późn. zm.)</w:t>
      </w:r>
    </w:p>
    <w:p w14:paraId="2A9C3911" w14:textId="19EAC690" w:rsidR="005956C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Ustawa z dnia 23 lipca 2003 roku o ochronie zabytków i opiece nad zabytkami (Dz.U. 2003 nr 162, poz. 1568 z późn. zm.).</w:t>
      </w:r>
    </w:p>
    <w:p w14:paraId="46460CB4" w14:textId="77777777" w:rsidR="005956C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Rozporządzenie Ministra Kultury z dnia 30 sierpnia 2004 roku w sprawie zakresu, form i sposobu ewidencjonowania zabytków w muzeach (Dz.U. 2004 nr 202 poz. 2073).</w:t>
      </w:r>
    </w:p>
    <w:p w14:paraId="086232D4" w14:textId="77777777" w:rsidR="005956C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Rozporządzenie Ministra Kultury i Dziedzictwa Narodowego z dnia 2 sierpnia 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2021 poz. 81).</w:t>
      </w:r>
    </w:p>
    <w:p w14:paraId="3A44B5E6" w14:textId="2D8F4888" w:rsidR="005956C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Rozporządzenie Ministra Kultury i Dziedzictwa Narodowego z dnia 2 września 2014 roku w sprawie zabezpieczania zbiorów muzeum przed pożarem, kradzieżą i innym niebezpieczeństwem grożącym ich zniszczeniem lub utratą (Dz.U. 2014 poz. 1240).</w:t>
      </w:r>
    </w:p>
    <w:p w14:paraId="6B163E09" w14:textId="418B90A8" w:rsidR="00AC64E2" w:rsidRPr="00C85C2F" w:rsidRDefault="00871118" w:rsidP="00AC64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Rozporządzenie Ministra Kultury i Dziedzictwa Narodowego z dnia 15 maja 2008 roku w sprawie warunków, sposobu i trybu przenoszenia muzealiów (Dz.U. 2008 nr 91 poz. 569</w:t>
      </w:r>
      <w:r w:rsidR="00AC64E2" w:rsidRPr="00C85C2F">
        <w:rPr>
          <w:color w:val="000000"/>
          <w:sz w:val="24"/>
          <w:szCs w:val="24"/>
        </w:rPr>
        <w:t>)</w:t>
      </w:r>
      <w:r w:rsidRPr="00C85C2F">
        <w:rPr>
          <w:color w:val="000000"/>
          <w:sz w:val="24"/>
          <w:szCs w:val="24"/>
        </w:rPr>
        <w:t>.</w:t>
      </w:r>
    </w:p>
    <w:p w14:paraId="4485FC94" w14:textId="1C1C6073" w:rsidR="005956C2" w:rsidRPr="00C85C2F" w:rsidRDefault="00397A80" w:rsidP="00AC64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4"/>
          <w:szCs w:val="24"/>
        </w:rPr>
      </w:pPr>
      <w:r w:rsidRPr="00C85C2F">
        <w:rPr>
          <w:sz w:val="24"/>
          <w:szCs w:val="24"/>
        </w:rPr>
        <w:t xml:space="preserve">Podstawę działań związanych z przyjmowaniem ruchomych zabytków archeologicznych do zbiorów muzeum stanowią także normy etyki zawodowej zawarte w </w:t>
      </w:r>
      <w:r w:rsidRPr="00C85C2F">
        <w:rPr>
          <w:color w:val="000000"/>
          <w:sz w:val="24"/>
          <w:szCs w:val="24"/>
        </w:rPr>
        <w:t>Kodeksie etyki ICOM dla Muzeów.</w:t>
      </w:r>
    </w:p>
    <w:p w14:paraId="63378E22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C85C2F">
        <w:rPr>
          <w:b/>
          <w:sz w:val="24"/>
          <w:szCs w:val="24"/>
        </w:rPr>
        <w:t>§ 2</w:t>
      </w:r>
    </w:p>
    <w:p w14:paraId="65549C6B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Zakres instrukcji</w:t>
      </w:r>
    </w:p>
    <w:p w14:paraId="2D9256D4" w14:textId="43DCCEA0" w:rsidR="005956C2" w:rsidRPr="00C85C2F" w:rsidRDefault="00871118" w:rsidP="00AC64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Instrukcję nabywania obiektów do zbiorów Muzeum __________________ </w:t>
      </w:r>
      <w:r w:rsidRPr="00C85C2F">
        <w:rPr>
          <w:i/>
          <w:color w:val="000000"/>
          <w:sz w:val="18"/>
          <w:szCs w:val="18"/>
        </w:rPr>
        <w:t>(nazwa muzeum)</w:t>
      </w:r>
      <w:r w:rsidRPr="00C85C2F">
        <w:rPr>
          <w:i/>
          <w:color w:val="000000"/>
          <w:sz w:val="20"/>
          <w:szCs w:val="20"/>
        </w:rPr>
        <w:t xml:space="preserve"> </w:t>
      </w:r>
      <w:r w:rsidRPr="00C85C2F">
        <w:rPr>
          <w:color w:val="000000"/>
          <w:sz w:val="24"/>
          <w:szCs w:val="24"/>
        </w:rPr>
        <w:t>stosuje się do zbiorów archeologicznych.</w:t>
      </w:r>
    </w:p>
    <w:p w14:paraId="6219C361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§ 3</w:t>
      </w:r>
    </w:p>
    <w:p w14:paraId="11693B34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Wnioskowanie o wydanie oświadczenia</w:t>
      </w:r>
    </w:p>
    <w:p w14:paraId="0D110100" w14:textId="77777777" w:rsidR="005956C2" w:rsidRPr="00C85C2F" w:rsidRDefault="00871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Z wnioskiem o oświadczenie o gotowości przyjęcia ruchomych zabytków archeologicznych (załącznik nr 1) mogą zwrócić się:</w:t>
      </w:r>
    </w:p>
    <w:p w14:paraId="60601EEF" w14:textId="77777777" w:rsidR="005956C2" w:rsidRPr="00C85C2F" w:rsidRDefault="008711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inwestor lub jego pełnomocnik,</w:t>
      </w:r>
    </w:p>
    <w:p w14:paraId="628FB108" w14:textId="77777777" w:rsidR="005956C2" w:rsidRPr="00C85C2F" w:rsidRDefault="008711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archeolog, który będzie wykonywał badania wykopaliskowe.</w:t>
      </w:r>
    </w:p>
    <w:p w14:paraId="3D876390" w14:textId="77777777" w:rsidR="005956C2" w:rsidRPr="00C85C2F" w:rsidRDefault="00871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lastRenderedPageBreak/>
        <w:t>Wniosek o wydanie oświadczenia o gotowości przyjęcia ruchomych zabytków archeologicznych można złożyć:</w:t>
      </w:r>
    </w:p>
    <w:p w14:paraId="0E03551F" w14:textId="77777777" w:rsidR="005956C2" w:rsidRPr="00C85C2F" w:rsidRDefault="008711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osobiście,</w:t>
      </w:r>
    </w:p>
    <w:p w14:paraId="30E53684" w14:textId="77777777" w:rsidR="005956C2" w:rsidRPr="00C85C2F" w:rsidRDefault="008711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pocztą tradycyjną,</w:t>
      </w:r>
    </w:p>
    <w:p w14:paraId="64693EE4" w14:textId="77777777" w:rsidR="005956C2" w:rsidRPr="00C85C2F" w:rsidRDefault="008711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pocztą elektroniczną. </w:t>
      </w:r>
    </w:p>
    <w:p w14:paraId="44B88B93" w14:textId="0DF31B38" w:rsidR="005956C2" w:rsidRPr="00C85C2F" w:rsidRDefault="00871118" w:rsidP="00AC64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Podczas składania wniosku o wydanie oświadczenia wnioskodawca potwierdza, że zapoznał się z wytycznymi dotyczącymi przyjmowania ruchomych zabytków archeologicznych i dokumentacji z badań do Muzeum __________________ </w:t>
      </w:r>
      <w:r w:rsidRPr="00C85C2F">
        <w:rPr>
          <w:i/>
          <w:color w:val="000000"/>
          <w:sz w:val="18"/>
          <w:szCs w:val="18"/>
        </w:rPr>
        <w:t>(nazwa muzeum)</w:t>
      </w:r>
      <w:r w:rsidRPr="00C85C2F">
        <w:rPr>
          <w:i/>
          <w:color w:val="000000"/>
          <w:sz w:val="20"/>
          <w:szCs w:val="20"/>
        </w:rPr>
        <w:t xml:space="preserve"> </w:t>
      </w:r>
      <w:r w:rsidRPr="00C85C2F">
        <w:rPr>
          <w:color w:val="000000"/>
          <w:sz w:val="24"/>
          <w:szCs w:val="24"/>
        </w:rPr>
        <w:t xml:space="preserve">opisanymi w </w:t>
      </w:r>
      <w:r w:rsidRPr="00C85C2F">
        <w:rPr>
          <w:i/>
          <w:color w:val="000000"/>
          <w:sz w:val="24"/>
          <w:szCs w:val="24"/>
        </w:rPr>
        <w:t xml:space="preserve">Wytycznych dotyczących przyjmowania ruchomych zabytków archeologicznych i dokumentacji z badań </w:t>
      </w:r>
      <w:r w:rsidRPr="00C85C2F">
        <w:rPr>
          <w:color w:val="000000"/>
          <w:sz w:val="24"/>
          <w:szCs w:val="24"/>
        </w:rPr>
        <w:t xml:space="preserve">(załącznik nr 2) oraz zobowiązuje się do ich przestrzegania podczas przygotowywania materiału do przekazania do Muzeum. </w:t>
      </w:r>
    </w:p>
    <w:p w14:paraId="4267F282" w14:textId="77777777" w:rsidR="00AC64E2" w:rsidRPr="00C85C2F" w:rsidRDefault="00AC64E2" w:rsidP="00AC64E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color w:val="000000"/>
          <w:sz w:val="24"/>
          <w:szCs w:val="24"/>
        </w:rPr>
      </w:pPr>
    </w:p>
    <w:p w14:paraId="76CF5021" w14:textId="77777777" w:rsidR="005956C2" w:rsidRPr="00C85C2F" w:rsidRDefault="00871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C85C2F">
        <w:rPr>
          <w:b/>
          <w:color w:val="000000"/>
          <w:sz w:val="24"/>
          <w:szCs w:val="24"/>
        </w:rPr>
        <w:t>§ 4</w:t>
      </w:r>
    </w:p>
    <w:p w14:paraId="0A41F801" w14:textId="77777777" w:rsidR="005956C2" w:rsidRPr="00C85C2F" w:rsidRDefault="008711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C85C2F">
        <w:rPr>
          <w:b/>
          <w:color w:val="000000"/>
          <w:sz w:val="24"/>
          <w:szCs w:val="24"/>
        </w:rPr>
        <w:t>Terminy</w:t>
      </w:r>
    </w:p>
    <w:p w14:paraId="1FD3F523" w14:textId="77777777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W przypadku rezygnacji inwestora z realizacji inwestycji, zmiany wykonawcy bądź terminu badań, na które Muzeum wydało oświadczenie o gotowości przyjęcia zabytków archeologicznych, należy niezwłocznie powiadomić o tym fakcie Muzeum. </w:t>
      </w:r>
    </w:p>
    <w:p w14:paraId="21701117" w14:textId="77777777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Ruchome zabytki archeologiczne wraz z dokumentacją, do których Muzeum wydało oświadczenie o gotowości przyjęcia zabytków archeologicznych, należy przekazać w terminie nie dłuższym niż 3 lata od zakończenia badań. </w:t>
      </w:r>
    </w:p>
    <w:p w14:paraId="634C5CDF" w14:textId="77777777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W przypadku niepozyskania materiału zabytkowego podczas badań archeologicznych, kierownik badań bądź inwestor, zobowiązany jest przedłożyć oświadczenie o niepozyskaniu zabytków. </w:t>
      </w:r>
    </w:p>
    <w:p w14:paraId="0393B5BA" w14:textId="20515ADC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 upływie </w:t>
      </w:r>
      <w:r w:rsidR="00AC64E2" w:rsidRPr="00C85C2F">
        <w:rPr>
          <w:color w:val="000000"/>
          <w:sz w:val="24"/>
          <w:szCs w:val="24"/>
        </w:rPr>
        <w:t>4</w:t>
      </w:r>
      <w:r w:rsidRPr="00C85C2F">
        <w:rPr>
          <w:color w:val="000000"/>
          <w:sz w:val="24"/>
          <w:szCs w:val="24"/>
        </w:rPr>
        <w:t xml:space="preserve"> lat od daty wystawienia oświadczenia o gotowości przyjęcia ruchomych zabytków archeologicznych przez Muzeum __________________ </w:t>
      </w:r>
      <w:r w:rsidRPr="00C85C2F">
        <w:rPr>
          <w:i/>
          <w:color w:val="000000"/>
          <w:sz w:val="18"/>
          <w:szCs w:val="18"/>
        </w:rPr>
        <w:t>(nazwa muzeum)</w:t>
      </w:r>
      <w:r w:rsidRPr="00C85C2F">
        <w:rPr>
          <w:color w:val="000000"/>
          <w:sz w:val="24"/>
          <w:szCs w:val="24"/>
        </w:rPr>
        <w:t>, wysłane zostaje wezwanie do przekazania ruchomych zabytków archeologicznych przez inwestora.</w:t>
      </w:r>
    </w:p>
    <w:p w14:paraId="54AF4476" w14:textId="10C5BE2D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Oświadczenie o gotowości przyjęcia w depozyt ruchomych zabytków archeologicznych traci moc </w:t>
      </w:r>
      <w:r w:rsidR="00D41451" w:rsidRPr="00C85C2F">
        <w:rPr>
          <w:color w:val="000000"/>
          <w:sz w:val="24"/>
          <w:szCs w:val="24"/>
        </w:rPr>
        <w:t xml:space="preserve">4 </w:t>
      </w:r>
      <w:r w:rsidRPr="00C85C2F">
        <w:rPr>
          <w:color w:val="000000"/>
          <w:sz w:val="24"/>
          <w:szCs w:val="24"/>
        </w:rPr>
        <w:t>lata od jego wystawienia, w przypadku, kiedy do tego czasu kierownik badań nie zwróci się do Muzeum o przekazanie materiału zabytkowego, z oświadczeniem o jego niepozyskaniu bądź z informacją o zmianie terminu badań. Oświadczenie może utracić moc również, jeżeli zmianie ulegną zapisy z wniosku o jego wystawienie (m.in. w przypadku zmiany inwestora). Każdorazowo o utracie mocy oświadczenia informuje się właściwy terytorialnie Wojewódzki Urząd Ochrony Zabytków bądź jego delegaturę (</w:t>
      </w:r>
      <w:r w:rsidRPr="00C85C2F">
        <w:rPr>
          <w:i/>
          <w:color w:val="000000"/>
          <w:sz w:val="24"/>
          <w:szCs w:val="24"/>
        </w:rPr>
        <w:t>dalej</w:t>
      </w:r>
      <w:r w:rsidRPr="00C85C2F">
        <w:rPr>
          <w:color w:val="000000"/>
          <w:sz w:val="24"/>
          <w:szCs w:val="24"/>
        </w:rPr>
        <w:t xml:space="preserve">: WUOZ). </w:t>
      </w:r>
    </w:p>
    <w:p w14:paraId="62E23CEE" w14:textId="77777777" w:rsidR="005956C2" w:rsidRPr="00C85C2F" w:rsidRDefault="008711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W sytuacji niedopełnienia obowiązków wskazanych w § 4, ust. 1-3, do czasu rozliczenia się z</w:t>
      </w:r>
      <w:r w:rsidRPr="00C85C2F">
        <w:rPr>
          <w:sz w:val="24"/>
          <w:szCs w:val="24"/>
        </w:rPr>
        <w:t xml:space="preserve"> </w:t>
      </w:r>
      <w:r w:rsidRPr="00C85C2F">
        <w:rPr>
          <w:color w:val="000000"/>
          <w:sz w:val="24"/>
          <w:szCs w:val="24"/>
        </w:rPr>
        <w:t>zaległości, Muzeum zastrzega sobie prawo do odmowy wydawania oświadczeń o gotowości przyjęcia zabytków archeologicznych inwestorowi oraz kierownikowi badań, w przypadku ponownego ubieganie się o oświadczenie.</w:t>
      </w:r>
    </w:p>
    <w:p w14:paraId="1C485D0A" w14:textId="77777777" w:rsidR="005956C2" w:rsidRPr="00C85C2F" w:rsidRDefault="005956C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14:paraId="1F2615A9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lastRenderedPageBreak/>
        <w:t>§ 5</w:t>
      </w:r>
    </w:p>
    <w:p w14:paraId="1319C3BF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Tryb wydawania oświadczeń</w:t>
      </w:r>
    </w:p>
    <w:p w14:paraId="5E773793" w14:textId="0D1D840A" w:rsidR="005956C2" w:rsidRPr="00C85C2F" w:rsidRDefault="00871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Dyrektor Muzeum wydaje oświadczenie o gotowości przyjęcia ruchomych zabytków archeologicznych (załącznik nr 7) po zapoznaniu się z opinią działu merytorycznego, osoby odpowiedzialnej za magazyn zbiorów oraz Głównego Inwentaryzatora Zbiorów.</w:t>
      </w:r>
    </w:p>
    <w:p w14:paraId="1E9BDD4B" w14:textId="77777777" w:rsidR="005956C2" w:rsidRPr="00C85C2F" w:rsidRDefault="00871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Muzeum każdorazowo kieruje do właściwego terytorialnie WUOZ zgodę Dyrektora Muzeum na przyjęcie materiału zabytkowego pochodzącego z danych badań terenowych.</w:t>
      </w:r>
    </w:p>
    <w:p w14:paraId="5C854662" w14:textId="77777777" w:rsidR="005956C2" w:rsidRPr="00C85C2F" w:rsidRDefault="00871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Muzeum zastrzega sobie prawo odmowy wydania oświadczenia o gotowości przyjęcia ruchomych zabytków archeologicznych bez podania przyczyny.</w:t>
      </w:r>
    </w:p>
    <w:p w14:paraId="7FEA0A05" w14:textId="77777777" w:rsidR="005956C2" w:rsidRPr="00C85C2F" w:rsidRDefault="005956C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14:paraId="508F5BA6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§ 6</w:t>
      </w:r>
    </w:p>
    <w:p w14:paraId="26BBD6A2" w14:textId="77777777" w:rsidR="005956C2" w:rsidRPr="00C85C2F" w:rsidRDefault="00871118">
      <w:pPr>
        <w:spacing w:after="0" w:line="276" w:lineRule="auto"/>
        <w:jc w:val="center"/>
        <w:rPr>
          <w:b/>
          <w:sz w:val="24"/>
          <w:szCs w:val="24"/>
        </w:rPr>
      </w:pPr>
      <w:r w:rsidRPr="00C85C2F">
        <w:rPr>
          <w:b/>
          <w:sz w:val="24"/>
          <w:szCs w:val="24"/>
        </w:rPr>
        <w:t>Przekazanie zabytków</w:t>
      </w:r>
    </w:p>
    <w:p w14:paraId="0F25CAD7" w14:textId="405F363F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 zgłoszeniu przez inwestora bądź kierownika badań archeologicznych gotowości przekazania materiału archeologicznego pozyskanego podczas badań, pracownik Muzeum niezwłocznie powiadamia o zgłoszeniu właściwy terytorialnie WUOZ. </w:t>
      </w:r>
    </w:p>
    <w:p w14:paraId="37E3403F" w14:textId="77777777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Podczas przekazania zabytków kontroluje się stan faktyczny liczby zabytków, na podstawie inwentarza polowego. Sprawdza się również zgodność dokumentacji oraz przygotowania obiektów z </w:t>
      </w:r>
      <w:r w:rsidRPr="00C85C2F">
        <w:rPr>
          <w:i/>
          <w:color w:val="000000"/>
          <w:sz w:val="24"/>
          <w:szCs w:val="24"/>
        </w:rPr>
        <w:t xml:space="preserve">Wytycznymi dotyczącymi przyjmowania ruchomych zabytków archeologicznych i dokumentacji z badań </w:t>
      </w:r>
      <w:r w:rsidRPr="00C85C2F">
        <w:rPr>
          <w:color w:val="000000"/>
          <w:sz w:val="24"/>
          <w:szCs w:val="24"/>
        </w:rPr>
        <w:t>(załącznik nr 2)</w:t>
      </w:r>
      <w:r w:rsidRPr="00C85C2F">
        <w:rPr>
          <w:i/>
          <w:color w:val="000000"/>
          <w:sz w:val="24"/>
          <w:szCs w:val="24"/>
        </w:rPr>
        <w:t xml:space="preserve">. </w:t>
      </w:r>
      <w:r w:rsidRPr="00C85C2F">
        <w:rPr>
          <w:color w:val="000000"/>
          <w:sz w:val="24"/>
          <w:szCs w:val="24"/>
        </w:rPr>
        <w:t xml:space="preserve">Po zakończeniu kontroli materiału zabytkowego spisuje się protokół zgodności. </w:t>
      </w:r>
    </w:p>
    <w:p w14:paraId="242475D3" w14:textId="77777777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W razie stwierdzenia jakichkolwiek niezgodności w przekazywanym materiale bądź dokumentacji, pracownik Muzeum może odmówić przyjęcia obiektów do zbiorów. Fakt ten odnotowywany jest w protokole wraz z wyszczególnieniem niezgodności. Po wskazaniu niezgodności istnieje możliwość ustalenia warunków ich usunięcia oraz ponownego terminu przekazania zabytków.</w:t>
      </w:r>
    </w:p>
    <w:p w14:paraId="25C8D753" w14:textId="1FB0D4B9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Z chwilą przekazania dokumentacji przekazujący zobowiązany jest do przeniesienia autorskich praw majątkowych do dokumentacji archeologicznej z badań.</w:t>
      </w:r>
    </w:p>
    <w:p w14:paraId="24F9636B" w14:textId="14E2281C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 </w:t>
      </w:r>
      <w:r w:rsidR="00397A80" w:rsidRPr="00C85C2F">
        <w:rPr>
          <w:color w:val="000000"/>
          <w:sz w:val="24"/>
          <w:szCs w:val="24"/>
        </w:rPr>
        <w:t xml:space="preserve">protokolarnym </w:t>
      </w:r>
      <w:r w:rsidRPr="00C85C2F">
        <w:rPr>
          <w:color w:val="000000"/>
          <w:sz w:val="24"/>
          <w:szCs w:val="24"/>
        </w:rPr>
        <w:t xml:space="preserve">przekazaniu materiału zabytkowego do Muzeum właściwy terytorialnie WUOZ wydaje we własnym trybie decyzję administracyjną o przekazaniu zabytków archeologicznych w depozyt. </w:t>
      </w:r>
    </w:p>
    <w:p w14:paraId="0E67D8AA" w14:textId="27E48508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Po uzyskaniu decyzji administracyjnej przekazującej materiał zabytkowy w depozyt do Muzeum następuje etap ewidencji zabytków. Obiekty należy zaewidencjonować w ciągu 60 dni od daty wpływu decyzji administracyjnej. Szczegółowe zasady ewidencji zabytków archeologicznych opisane są w </w:t>
      </w:r>
      <w:r w:rsidRPr="00C85C2F">
        <w:rPr>
          <w:i/>
          <w:color w:val="000000"/>
          <w:sz w:val="24"/>
          <w:szCs w:val="24"/>
        </w:rPr>
        <w:t>Instrukcji ewidencjonowania zbiorów Muzeum.</w:t>
      </w:r>
    </w:p>
    <w:p w14:paraId="40EFAE9A" w14:textId="77777777" w:rsidR="005956C2" w:rsidRPr="00C85C2F" w:rsidRDefault="008711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W konkretnych przypadkach Dyrektor Muzeum może wystąpić do właściwego terytorialnie WUOZ z wnioskiem o przekazanie zabytków archeologicznych decyzją administracyjną na własność do Muzeum. </w:t>
      </w:r>
    </w:p>
    <w:p w14:paraId="460A104E" w14:textId="1B049807" w:rsidR="005956C2" w:rsidRPr="00C85C2F" w:rsidRDefault="005956C2">
      <w:pPr>
        <w:spacing w:before="120" w:after="120" w:line="276" w:lineRule="auto"/>
        <w:jc w:val="both"/>
        <w:rPr>
          <w:b/>
          <w:sz w:val="24"/>
          <w:szCs w:val="24"/>
        </w:rPr>
      </w:pPr>
    </w:p>
    <w:p w14:paraId="1A4914B8" w14:textId="77777777" w:rsidR="00AC64E2" w:rsidRPr="00C85C2F" w:rsidRDefault="00AC64E2">
      <w:pPr>
        <w:spacing w:before="120" w:after="120" w:line="276" w:lineRule="auto"/>
        <w:jc w:val="both"/>
        <w:rPr>
          <w:b/>
          <w:sz w:val="24"/>
          <w:szCs w:val="24"/>
        </w:rPr>
      </w:pPr>
    </w:p>
    <w:p w14:paraId="0B204952" w14:textId="77777777" w:rsidR="005956C2" w:rsidRPr="00C85C2F" w:rsidRDefault="00871118">
      <w:pPr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 w:rsidRPr="00C85C2F">
        <w:rPr>
          <w:b/>
          <w:color w:val="000000"/>
          <w:sz w:val="24"/>
          <w:szCs w:val="24"/>
        </w:rPr>
        <w:lastRenderedPageBreak/>
        <w:t>Załączniki:</w:t>
      </w:r>
    </w:p>
    <w:p w14:paraId="2DB40698" w14:textId="3BBD232C" w:rsidR="00397A80" w:rsidRPr="00C85C2F" w:rsidRDefault="0087111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Załącznik nr 1 – Wniosek o wydanie oświadczenia o gotowości przyjęcia zabytków archeologicznych. </w:t>
      </w:r>
    </w:p>
    <w:p w14:paraId="317E81CF" w14:textId="702855A7" w:rsidR="005956C2" w:rsidRPr="00C85C2F" w:rsidRDefault="0087111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Załącznik nr 2 – Wytyczne dotyczące przyjmowania ruchomych zabytków archeologicznych i dokumentacji z badań</w:t>
      </w:r>
      <w:r w:rsidR="00641060" w:rsidRPr="00C85C2F">
        <w:rPr>
          <w:color w:val="000000"/>
          <w:sz w:val="24"/>
          <w:szCs w:val="24"/>
        </w:rPr>
        <w:t xml:space="preserve"> wraz ze wzorami dokumentacji:</w:t>
      </w:r>
    </w:p>
    <w:p w14:paraId="5D46A8DB" w14:textId="698B6CF5" w:rsidR="005956C2" w:rsidRPr="00C85C2F" w:rsidRDefault="00641060" w:rsidP="00C85C2F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A. </w:t>
      </w:r>
      <w:r w:rsidR="00871118" w:rsidRPr="00C85C2F">
        <w:rPr>
          <w:color w:val="000000"/>
          <w:sz w:val="24"/>
          <w:szCs w:val="24"/>
        </w:rPr>
        <w:t xml:space="preserve"> </w:t>
      </w:r>
      <w:r w:rsidR="00D90487" w:rsidRPr="00C85C2F">
        <w:rPr>
          <w:color w:val="000000"/>
          <w:sz w:val="24"/>
          <w:szCs w:val="24"/>
        </w:rPr>
        <w:t>Inwentarz polowy ruchomych zabytków archeologicznych</w:t>
      </w:r>
      <w:r w:rsidR="00D90487" w:rsidRPr="00C85C2F">
        <w:rPr>
          <w:color w:val="000000"/>
        </w:rPr>
        <w:t xml:space="preserve"> </w:t>
      </w:r>
      <w:r w:rsidRPr="00C85C2F">
        <w:rPr>
          <w:color w:val="000000"/>
        </w:rPr>
        <w:t>(</w:t>
      </w:r>
      <w:r w:rsidR="00871118" w:rsidRPr="00C85C2F">
        <w:rPr>
          <w:color w:val="000000"/>
          <w:sz w:val="24"/>
          <w:szCs w:val="24"/>
        </w:rPr>
        <w:t>Inwentarz zabytków archeologicznych wydzielonych, Inwentarz zabytków archeologicznych masowych</w:t>
      </w:r>
      <w:r w:rsidRPr="00C85C2F">
        <w:rPr>
          <w:color w:val="000000"/>
          <w:sz w:val="24"/>
          <w:szCs w:val="24"/>
        </w:rPr>
        <w:t>)</w:t>
      </w:r>
      <w:r w:rsidR="00871118" w:rsidRPr="00C85C2F">
        <w:rPr>
          <w:color w:val="000000"/>
          <w:sz w:val="24"/>
          <w:szCs w:val="24"/>
        </w:rPr>
        <w:t>(wariant 1 i 2)</w:t>
      </w:r>
    </w:p>
    <w:p w14:paraId="7AC8BE69" w14:textId="3C995FE9" w:rsidR="005956C2" w:rsidRPr="00C85C2F" w:rsidRDefault="00641060" w:rsidP="00C85C2F">
      <w:pPr>
        <w:spacing w:before="120" w:after="120" w:line="276" w:lineRule="auto"/>
        <w:ind w:firstLine="720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B. </w:t>
      </w:r>
      <w:r w:rsidR="00871118" w:rsidRPr="00C85C2F">
        <w:rPr>
          <w:color w:val="000000"/>
          <w:sz w:val="24"/>
          <w:szCs w:val="24"/>
        </w:rPr>
        <w:t xml:space="preserve"> o stanowisku archeologicznym.</w:t>
      </w:r>
    </w:p>
    <w:p w14:paraId="023DAEB8" w14:textId="63015113" w:rsidR="005956C2" w:rsidRPr="00C85C2F" w:rsidRDefault="00641060" w:rsidP="00C85C2F">
      <w:pPr>
        <w:spacing w:before="120" w:after="120" w:line="276" w:lineRule="auto"/>
        <w:ind w:firstLine="720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 xml:space="preserve">C. </w:t>
      </w:r>
      <w:r w:rsidR="00871118" w:rsidRPr="00C85C2F">
        <w:rPr>
          <w:color w:val="000000"/>
          <w:sz w:val="24"/>
          <w:szCs w:val="24"/>
        </w:rPr>
        <w:t xml:space="preserve"> Metryczka do zabytku (wariant 1 i 2).</w:t>
      </w:r>
    </w:p>
    <w:p w14:paraId="136483F7" w14:textId="4490212A" w:rsidR="005956C2" w:rsidRPr="00C85C2F" w:rsidRDefault="00641060" w:rsidP="00C85C2F">
      <w:pPr>
        <w:spacing w:before="120" w:after="120" w:line="276" w:lineRule="auto"/>
        <w:ind w:firstLine="720"/>
        <w:jc w:val="both"/>
        <w:rPr>
          <w:color w:val="000000"/>
          <w:sz w:val="24"/>
          <w:szCs w:val="24"/>
        </w:rPr>
      </w:pPr>
      <w:bookmarkStart w:id="1" w:name="_GoBack"/>
      <w:bookmarkEnd w:id="1"/>
      <w:r w:rsidRPr="00C85C2F">
        <w:rPr>
          <w:color w:val="000000"/>
          <w:sz w:val="24"/>
          <w:szCs w:val="24"/>
        </w:rPr>
        <w:t xml:space="preserve">D. </w:t>
      </w:r>
      <w:r w:rsidR="00871118" w:rsidRPr="00C85C2F">
        <w:rPr>
          <w:color w:val="000000"/>
          <w:sz w:val="24"/>
          <w:szCs w:val="24"/>
        </w:rPr>
        <w:t xml:space="preserve"> </w:t>
      </w:r>
      <w:r w:rsidR="00871118" w:rsidRPr="00C85C2F">
        <w:rPr>
          <w:sz w:val="24"/>
          <w:szCs w:val="24"/>
        </w:rPr>
        <w:t>Metryka na pudełko (</w:t>
      </w:r>
      <w:r w:rsidR="00871118" w:rsidRPr="00C85C2F">
        <w:rPr>
          <w:color w:val="000000"/>
          <w:sz w:val="24"/>
          <w:szCs w:val="24"/>
        </w:rPr>
        <w:t>wariant 1 i 2</w:t>
      </w:r>
      <w:r w:rsidR="00871118" w:rsidRPr="00C85C2F">
        <w:rPr>
          <w:sz w:val="24"/>
          <w:szCs w:val="24"/>
        </w:rPr>
        <w:t>).</w:t>
      </w:r>
    </w:p>
    <w:p w14:paraId="12275A46" w14:textId="72F3F879" w:rsidR="005956C2" w:rsidRDefault="0087111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C85C2F">
        <w:rPr>
          <w:color w:val="000000"/>
          <w:sz w:val="24"/>
          <w:szCs w:val="24"/>
        </w:rPr>
        <w:t>Załącznik nr 7 – Oświadczenie o gotowości przyjęcia ruchomych zabytków archeologicznych.</w:t>
      </w:r>
    </w:p>
    <w:sectPr w:rsidR="005956C2">
      <w:footerReference w:type="default" r:id="rId7"/>
      <w:headerReference w:type="first" r:id="rId8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4262E" w16cid:durableId="2820E02A"/>
  <w16cid:commentId w16cid:paraId="292997B7" w16cid:durableId="2820E02B"/>
  <w16cid:commentId w16cid:paraId="3BAE1BA0" w16cid:durableId="2820E02C"/>
  <w16cid:commentId w16cid:paraId="2166A24B" w16cid:durableId="2820E02D"/>
  <w16cid:commentId w16cid:paraId="796CD090" w16cid:durableId="2820E02E"/>
  <w16cid:commentId w16cid:paraId="5E8A22CA" w16cid:durableId="2820E02F"/>
  <w16cid:commentId w16cid:paraId="74659099" w16cid:durableId="2820E030"/>
  <w16cid:commentId w16cid:paraId="77692907" w16cid:durableId="2820E031"/>
  <w16cid:commentId w16cid:paraId="1857DDAB" w16cid:durableId="2820E032"/>
  <w16cid:commentId w16cid:paraId="7DDFA0CA" w16cid:durableId="2820E033"/>
  <w16cid:commentId w16cid:paraId="07286404" w16cid:durableId="2820E0A9"/>
  <w16cid:commentId w16cid:paraId="3391A008" w16cid:durableId="2820E034"/>
  <w16cid:commentId w16cid:paraId="7E56A7CF" w16cid:durableId="2820E1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704B5" w14:textId="77777777" w:rsidR="00080B04" w:rsidRDefault="00080B04">
      <w:pPr>
        <w:spacing w:after="0" w:line="240" w:lineRule="auto"/>
      </w:pPr>
      <w:r>
        <w:separator/>
      </w:r>
    </w:p>
  </w:endnote>
  <w:endnote w:type="continuationSeparator" w:id="0">
    <w:p w14:paraId="6AAB467B" w14:textId="77777777" w:rsidR="00080B04" w:rsidRDefault="0008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B74D" w14:textId="77777777" w:rsidR="005956C2" w:rsidRDefault="00871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4"/>
        <w:szCs w:val="14"/>
      </w:rPr>
    </w:pPr>
    <w:r>
      <w:rPr>
        <w:noProof/>
        <w:color w:val="000000"/>
        <w:sz w:val="16"/>
        <w:szCs w:val="16"/>
      </w:rPr>
      <w:drawing>
        <wp:inline distT="0" distB="0" distL="0" distR="0" wp14:anchorId="6B9661BE" wp14:editId="03309616">
          <wp:extent cx="769620" cy="2743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4"/>
        <w:szCs w:val="14"/>
      </w:rPr>
      <w:t xml:space="preserve"> V. 01: Udostępnione na licencji Creative Commons 4.0 Polska </w:t>
    </w:r>
    <w:r>
      <w:rPr>
        <w:b/>
        <w:color w:val="000000"/>
        <w:sz w:val="14"/>
        <w:szCs w:val="14"/>
      </w:rPr>
      <w:t>Uznanie autorstwa-Użycie niekomercyjne-Na tych samych warunkach</w:t>
    </w:r>
  </w:p>
  <w:p w14:paraId="1FDFF5BE" w14:textId="77777777" w:rsidR="005956C2" w:rsidRDefault="00595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DE33BA8" w14:textId="7A710993" w:rsidR="005956C2" w:rsidRDefault="00871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85C2F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C85C2F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  <w:p w14:paraId="4174A0BB" w14:textId="77777777" w:rsidR="005956C2" w:rsidRDefault="00595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6"/>
        <w:szCs w:val="16"/>
      </w:rPr>
    </w:pPr>
  </w:p>
  <w:p w14:paraId="3246F3C9" w14:textId="77777777" w:rsidR="005956C2" w:rsidRDefault="00595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95F5" w14:textId="77777777" w:rsidR="00080B04" w:rsidRDefault="00080B04">
      <w:pPr>
        <w:spacing w:after="0" w:line="240" w:lineRule="auto"/>
      </w:pPr>
      <w:r>
        <w:separator/>
      </w:r>
    </w:p>
  </w:footnote>
  <w:footnote w:type="continuationSeparator" w:id="0">
    <w:p w14:paraId="22B12019" w14:textId="77777777" w:rsidR="00080B04" w:rsidRDefault="0008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5ED5" w14:textId="77777777" w:rsidR="005956C2" w:rsidRDefault="00871118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color w:val="000000"/>
        <w:sz w:val="28"/>
        <w:szCs w:val="28"/>
      </w:rPr>
    </w:pPr>
    <w:r>
      <w:rPr>
        <w:rFonts w:ascii="Liberation Sans" w:eastAsia="Liberation Sans" w:hAnsi="Liberation Sans" w:cs="Liberation Sans"/>
        <w:noProof/>
        <w:color w:val="000000"/>
        <w:sz w:val="28"/>
        <w:szCs w:val="28"/>
      </w:rPr>
      <w:drawing>
        <wp:inline distT="0" distB="0" distL="0" distR="0" wp14:anchorId="79FA785F" wp14:editId="18E8BF11">
          <wp:extent cx="5759450" cy="649605"/>
          <wp:effectExtent l="0" t="0" r="0" b="0"/>
          <wp:docPr id="1" name="image1.jpg" descr="listownik PSIM 4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stownik PSIM 4b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340"/>
    <w:multiLevelType w:val="multilevel"/>
    <w:tmpl w:val="BEAEB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4F02010"/>
    <w:multiLevelType w:val="hybridMultilevel"/>
    <w:tmpl w:val="7C20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EEE"/>
    <w:multiLevelType w:val="multilevel"/>
    <w:tmpl w:val="83A25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394"/>
    <w:multiLevelType w:val="multilevel"/>
    <w:tmpl w:val="DDD0FB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E2A"/>
    <w:multiLevelType w:val="multilevel"/>
    <w:tmpl w:val="8CF64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27A6"/>
    <w:multiLevelType w:val="multilevel"/>
    <w:tmpl w:val="84C4B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2983477A"/>
    <w:multiLevelType w:val="multilevel"/>
    <w:tmpl w:val="87C285CA"/>
    <w:lvl w:ilvl="0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1931" w:hanging="108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291" w:hanging="1440"/>
      </w:pPr>
    </w:lvl>
  </w:abstractNum>
  <w:abstractNum w:abstractNumId="7" w15:restartNumberingAfterBreak="0">
    <w:nsid w:val="32A401B9"/>
    <w:multiLevelType w:val="multilevel"/>
    <w:tmpl w:val="8D661C12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77130EB"/>
    <w:multiLevelType w:val="multilevel"/>
    <w:tmpl w:val="C6F07C10"/>
    <w:lvl w:ilvl="0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1931" w:hanging="108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291" w:hanging="1440"/>
      </w:pPr>
    </w:lvl>
  </w:abstractNum>
  <w:abstractNum w:abstractNumId="9" w15:restartNumberingAfterBreak="0">
    <w:nsid w:val="6AFF7A7B"/>
    <w:multiLevelType w:val="multilevel"/>
    <w:tmpl w:val="160C13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D5515EC"/>
    <w:multiLevelType w:val="multilevel"/>
    <w:tmpl w:val="82544C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2"/>
    <w:rsid w:val="00047E03"/>
    <w:rsid w:val="00080B04"/>
    <w:rsid w:val="00252D92"/>
    <w:rsid w:val="00397A80"/>
    <w:rsid w:val="004F296C"/>
    <w:rsid w:val="005207A0"/>
    <w:rsid w:val="005956C2"/>
    <w:rsid w:val="005B0DFB"/>
    <w:rsid w:val="00641060"/>
    <w:rsid w:val="00684487"/>
    <w:rsid w:val="00733896"/>
    <w:rsid w:val="00871118"/>
    <w:rsid w:val="00A75900"/>
    <w:rsid w:val="00AC64E2"/>
    <w:rsid w:val="00B03481"/>
    <w:rsid w:val="00C85C2F"/>
    <w:rsid w:val="00D41451"/>
    <w:rsid w:val="00D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1237"/>
  <w15:docId w15:val="{F4E0E60A-9BA1-2444-9ED3-9F670A4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48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Fyderek</dc:creator>
  <cp:lastModifiedBy>Natalia Fyderek</cp:lastModifiedBy>
  <cp:revision>4</cp:revision>
  <dcterms:created xsi:type="dcterms:W3CDTF">2023-06-07T06:21:00Z</dcterms:created>
  <dcterms:modified xsi:type="dcterms:W3CDTF">2023-06-11T18:16:00Z</dcterms:modified>
</cp:coreProperties>
</file>